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«Бизнес-аналитика и оценка стоимости имущества организации»,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(Э)"</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Организация оценочной деятельности в Российской Федерации</w:t>
            </w:r>
          </w:p>
          <w:p>
            <w:pPr>
              <w:jc w:val="center"/>
              <w:spacing w:after="0" w:line="240" w:lineRule="auto"/>
              <w:rPr>
                <w:sz w:val="32"/>
                <w:szCs w:val="32"/>
              </w:rPr>
            </w:pPr>
            <w:r>
              <w:rPr>
                <w:rFonts w:ascii="Times New Roman" w:hAnsi="Times New Roman" w:cs="Times New Roman"/>
                <w:color w:val="#000000"/>
                <w:sz w:val="32"/>
                <w:szCs w:val="32"/>
              </w:rPr>
              <w:t> К.М.01.06</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«Бизнес-аналитика и оценка стоимости имущества организации»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ОЦЕНОЧНОЙ ДЕЯТЕЛЬНОСТИ</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08.037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БИЗНЕС-АНАЛИТИК</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246.45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/Беляева Елена Рудольфовна/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(Э)»</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«Бизнес-аналитика и оценка стоимости имущества организации»;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«Организация оценочной деятельности в Российской Федерации»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очная форма обучения в соответствии с требованиями законодательства Российской Федерации в сфере образования, Уставом Академии,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К.М.01.06 «Организация оценочной деятельности в Российской Федерации».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«Организация оценочной деятельности в Российской Федерации»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определятль стоимость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знать стандарты, правила и методологию определения стоимостей, соответствующую судебную практику</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 знать порядок установления ценообразующих факторов и выявления качественных характеристик, влияющих на стоимость организаций</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ПК-1.6 знать методы организации работ по определению стоимостей организаций</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ПК-1.8 знать особенности рынка организаций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ПК-1.9 уметь использовать знания   бухгалтерского учета,  установленные формы при составлении итогового документа об определении стоимостей в виде отчета, сметы, заключения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ПК-1.10 уметь выявлять основные особенности и характеристики организаций, в переговорах с заказчиками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ПК-1.11 уметь структурировать и хранить документы, получаемые от заказчика и третьих лиц в ходе определения стоимостей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ПК-1.12 уметь использовать формулы для расчета стоимостей в соответствии со стандартами, правилами и методологией определения стоимостей организаций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ПК-1.13 уметь идентифицировать активы организаций, и отражать их состояние, в том числе особенности при фотографировании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ПК-1.14 уметь выявлять необходимость привлечения отраслевых экспертов (специалистов, обладающих необходимыми профессиональными компетенциями в вопросах, требующих анализа при проведении оценки), ставить задачи анализа и исследования и анализировать результаты их анализа и исследования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ПК-1.15 уметь использовать в работе нормативные правовые акты в области оценочной деятельности, основы налогового законодательства РФ, основы гражданского законодательства РФ</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ПК-1.17 уметь пользоваться источниками информации, выявлять и отображать ценообразующие факторы организаций</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ПК-1.18 владеть навыками использования в работе и анализе правоустанавливающих документов на имущество организаций</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ПК-1.19 владеть навыками составления итогового документа об определении стоимостей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585.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организаций, архивирования документов, получаемых от заказчика и третьих лиц в ходе определения стоимостей организаций</w:t>
            </w:r>
          </w:p>
        </w:tc>
      </w:tr>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ПК-1.21 владеть навыками установления допущений и ограничивающих условий при определении стоимостей организаций и пределов применения полученных в результате оценки стоимостей</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ПК-1.22 владеть навыками осмотра и фотографирования имущества организаций, установления технических и правовых параметров, влияющих на стоимость организаций</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ПК-1.23 владеть навыками проведения переговоров с заказчиками об определении стоимостей организаций</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ПК-1.24 владеть навыками изучение рынка организаций</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ПК-1.25 владеть навыками описания организаций подбора объектов - аналогов организаций</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ПК-1.27 владеть навыками привлечения отраслевых экспертов для проведения исследований, требующих специальных знаний</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ПК-1.28 владеть навыками анализа информации об организации и совокупности прав на нее</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ПК-1.29 владеть навыками составления задания на определение стоимостей в соответствии с установленной формой</w:t>
            </w:r>
          </w:p>
        </w:tc>
      </w:tr>
      <w:tr>
        <w:trPr>
          <w:trHeight w:hRule="exact" w:val="585.06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ПК-1.30 владеть навыками исследования состояния (в том числе технического состояния активов) организаций</w:t>
            </w:r>
          </w:p>
        </w:tc>
      </w:tr>
      <w:tr>
        <w:trPr>
          <w:trHeight w:hRule="exact" w:val="416.7451"/>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К.М.01.06 «Организация оценочной деятельности в Российской Федерации» относится к обязательной части, является дисциплиной Блока Б1. «Дисциплины (модули)». Модуль "Определение стоимости организации основной профессиональной образовательной программы высшего образования - бакалавриат по направлению подготовки 38.03.01 Экономика.</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558.49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Правовое обеспечение формирования и оценки стоимости организации</w:t>
            </w:r>
          </w:p>
          <w:p>
            <w:pPr>
              <w:jc w:val="center"/>
              <w:spacing w:after="0" w:line="240" w:lineRule="auto"/>
              <w:rPr>
                <w:sz w:val="22"/>
                <w:szCs w:val="22"/>
              </w:rPr>
            </w:pPr>
            <w:r>
              <w:rPr>
                <w:rFonts w:ascii="Times New Roman" w:hAnsi="Times New Roman" w:cs="Times New Roman"/>
                <w:color w:val="#000000"/>
                <w:sz w:val="22"/>
                <w:szCs w:val="22"/>
              </w:rPr>
              <w:t> Ценообразование в оценочной деятельности</w:t>
            </w:r>
          </w:p>
          <w:p>
            <w:pPr>
              <w:jc w:val="center"/>
              <w:spacing w:after="0" w:line="240" w:lineRule="auto"/>
              <w:rPr>
                <w:sz w:val="22"/>
                <w:szCs w:val="22"/>
              </w:rPr>
            </w:pPr>
            <w:r>
              <w:rPr>
                <w:rFonts w:ascii="Times New Roman" w:hAnsi="Times New Roman" w:cs="Times New Roman"/>
                <w:color w:val="#000000"/>
                <w:sz w:val="22"/>
                <w:szCs w:val="22"/>
              </w:rPr>
              <w:t> Экономический анализ</w:t>
            </w:r>
          </w:p>
          <w:p>
            <w:pPr>
              <w:jc w:val="center"/>
              <w:spacing w:after="0" w:line="240" w:lineRule="auto"/>
              <w:rPr>
                <w:sz w:val="22"/>
                <w:szCs w:val="22"/>
              </w:rPr>
            </w:pPr>
            <w:r>
              <w:rPr>
                <w:rFonts w:ascii="Times New Roman" w:hAnsi="Times New Roman" w:cs="Times New Roman"/>
                <w:color w:val="#000000"/>
                <w:sz w:val="22"/>
                <w:szCs w:val="22"/>
              </w:rPr>
              <w:t> Антикоррупционная культура</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Управление проектами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5 зачетных единиц – 180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5</w:t>
            </w:r>
          </w:p>
        </w:tc>
      </w:tr>
      <w:tr>
        <w:trPr>
          <w:trHeight w:hRule="exact" w:val="277.83"/>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Организация оценочной</w:t>
            </w:r>
          </w:p>
          <w:p>
            <w:pPr>
              <w:jc w:val="left"/>
              <w:spacing w:after="0" w:line="240" w:lineRule="auto"/>
              <w:rPr>
                <w:sz w:val="24"/>
                <w:szCs w:val="24"/>
              </w:rPr>
            </w:pPr>
            <w:r>
              <w:rPr>
                <w:rFonts w:ascii="Times New Roman" w:hAnsi="Times New Roman" w:cs="Times New Roman"/>
                <w:b/>
                <w:color w:val="#000000"/>
                <w:sz w:val="24"/>
                <w:szCs w:val="24"/>
              </w:rPr>
              <w:t> деятельности в рыночной экономике.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w:t>
            </w:r>
          </w:p>
          <w:p>
            <w:pPr>
              <w:jc w:val="left"/>
              <w:spacing w:after="0" w:line="240" w:lineRule="auto"/>
              <w:rPr>
                <w:sz w:val="24"/>
                <w:szCs w:val="24"/>
              </w:rPr>
            </w:pPr>
            <w:r>
              <w:rPr>
                <w:rFonts w:ascii="Times New Roman" w:hAnsi="Times New Roman" w:cs="Times New Roman"/>
                <w:color w:val="#000000"/>
                <w:sz w:val="24"/>
                <w:szCs w:val="24"/>
              </w:rPr>
              <w:t> развития</w:t>
            </w:r>
          </w:p>
          <w:p>
            <w:pPr>
              <w:jc w:val="left"/>
              <w:spacing w:after="0" w:line="240" w:lineRule="auto"/>
              <w:rPr>
                <w:sz w:val="24"/>
                <w:szCs w:val="24"/>
              </w:rPr>
            </w:pPr>
            <w:r>
              <w:rPr>
                <w:rFonts w:ascii="Times New Roman" w:hAnsi="Times New Roman" w:cs="Times New Roman"/>
                <w:color w:val="#000000"/>
                <w:sz w:val="24"/>
                <w:szCs w:val="24"/>
              </w:rPr>
              <w:t> оценочной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Законодательство, регулирующее оценочную деятельность в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w:t>
            </w:r>
          </w:p>
          <w:p>
            <w:pPr>
              <w:jc w:val="left"/>
              <w:spacing w:after="0" w:line="240" w:lineRule="auto"/>
              <w:rPr>
                <w:sz w:val="24"/>
                <w:szCs w:val="24"/>
              </w:rPr>
            </w:pPr>
            <w:r>
              <w:rPr>
                <w:rFonts w:ascii="Times New Roman" w:hAnsi="Times New Roman" w:cs="Times New Roman"/>
                <w:color w:val="#000000"/>
                <w:sz w:val="24"/>
                <w:szCs w:val="24"/>
              </w:rPr>
              <w:t> этапы</w:t>
            </w:r>
          </w:p>
          <w:p>
            <w:pPr>
              <w:jc w:val="left"/>
              <w:spacing w:after="0" w:line="240" w:lineRule="auto"/>
              <w:rPr>
                <w:sz w:val="24"/>
                <w:szCs w:val="24"/>
              </w:rPr>
            </w:pPr>
            <w:r>
              <w:rPr>
                <w:rFonts w:ascii="Times New Roman" w:hAnsi="Times New Roman" w:cs="Times New Roman"/>
                <w:color w:val="#000000"/>
                <w:sz w:val="24"/>
                <w:szCs w:val="24"/>
              </w:rPr>
              <w:t> процесса оценки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Принципы оценки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правового обеспечения.</w:t>
            </w:r>
          </w:p>
          <w:p>
            <w:pPr>
              <w:jc w:val="left"/>
              <w:spacing w:after="0" w:line="240" w:lineRule="auto"/>
              <w:rPr>
                <w:sz w:val="24"/>
                <w:szCs w:val="24"/>
              </w:rPr>
            </w:pPr>
            <w:r>
              <w:rPr>
                <w:rFonts w:ascii="Times New Roman" w:hAnsi="Times New Roman" w:cs="Times New Roman"/>
                <w:color w:val="#000000"/>
                <w:sz w:val="24"/>
                <w:szCs w:val="24"/>
              </w:rPr>
              <w:t> Права, обязанности, независимость оценщиков.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855.539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w:t>
            </w:r>
          </w:p>
          <w:p>
            <w:pPr>
              <w:jc w:val="left"/>
              <w:spacing w:after="0" w:line="240" w:lineRule="auto"/>
              <w:rPr>
                <w:sz w:val="24"/>
                <w:szCs w:val="24"/>
              </w:rPr>
            </w:pPr>
            <w:r>
              <w:rPr>
                <w:rFonts w:ascii="Times New Roman" w:hAnsi="Times New Roman" w:cs="Times New Roman"/>
                <w:color w:val="#000000"/>
                <w:sz w:val="24"/>
                <w:szCs w:val="24"/>
              </w:rPr>
              <w:t> этапы</w:t>
            </w:r>
          </w:p>
          <w:p>
            <w:pPr>
              <w:jc w:val="left"/>
              <w:spacing w:after="0" w:line="240" w:lineRule="auto"/>
              <w:rPr>
                <w:sz w:val="24"/>
                <w:szCs w:val="24"/>
              </w:rPr>
            </w:pPr>
            <w:r>
              <w:rPr>
                <w:rFonts w:ascii="Times New Roman" w:hAnsi="Times New Roman" w:cs="Times New Roman"/>
                <w:color w:val="#000000"/>
                <w:sz w:val="24"/>
                <w:szCs w:val="24"/>
              </w:rPr>
              <w:t> процесса оценки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Методические</w:t>
            </w:r>
          </w:p>
          <w:p>
            <w:pPr>
              <w:jc w:val="left"/>
              <w:spacing w:after="0" w:line="240" w:lineRule="auto"/>
              <w:rPr>
                <w:sz w:val="24"/>
                <w:szCs w:val="24"/>
              </w:rPr>
            </w:pPr>
            <w:r>
              <w:rPr>
                <w:rFonts w:ascii="Times New Roman" w:hAnsi="Times New Roman" w:cs="Times New Roman"/>
                <w:color w:val="#000000"/>
                <w:sz w:val="24"/>
                <w:szCs w:val="24"/>
              </w:rPr>
              <w:t> подходы и</w:t>
            </w:r>
          </w:p>
          <w:p>
            <w:pPr>
              <w:jc w:val="left"/>
              <w:spacing w:after="0" w:line="240" w:lineRule="auto"/>
              <w:rPr>
                <w:sz w:val="24"/>
                <w:szCs w:val="24"/>
              </w:rPr>
            </w:pPr>
            <w:r>
              <w:rPr>
                <w:rFonts w:ascii="Times New Roman" w:hAnsi="Times New Roman" w:cs="Times New Roman"/>
                <w:color w:val="#000000"/>
                <w:sz w:val="24"/>
                <w:szCs w:val="24"/>
              </w:rPr>
              <w:t> методы оценки</w:t>
            </w:r>
          </w:p>
          <w:p>
            <w:pPr>
              <w:jc w:val="left"/>
              <w:spacing w:after="0" w:line="240" w:lineRule="auto"/>
              <w:rPr>
                <w:sz w:val="24"/>
                <w:szCs w:val="24"/>
              </w:rPr>
            </w:pPr>
            <w:r>
              <w:rPr>
                <w:rFonts w:ascii="Times New Roman" w:hAnsi="Times New Roman" w:cs="Times New Roman"/>
                <w:color w:val="#000000"/>
                <w:sz w:val="24"/>
                <w:szCs w:val="24"/>
              </w:rPr>
              <w:t> стоимости</w:t>
            </w:r>
          </w:p>
          <w:p>
            <w:pPr>
              <w:jc w:val="left"/>
              <w:spacing w:after="0" w:line="240" w:lineRule="auto"/>
              <w:rPr>
                <w:sz w:val="24"/>
                <w:szCs w:val="24"/>
              </w:rPr>
            </w:pPr>
            <w:r>
              <w:rPr>
                <w:rFonts w:ascii="Times New Roman" w:hAnsi="Times New Roman" w:cs="Times New Roman"/>
                <w:color w:val="#000000"/>
                <w:sz w:val="24"/>
                <w:szCs w:val="24"/>
              </w:rPr>
              <w:t>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1396.3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w:t>
            </w:r>
          </w:p>
          <w:p>
            <w:pPr>
              <w:jc w:val="left"/>
              <w:spacing w:after="0" w:line="240" w:lineRule="auto"/>
              <w:rPr>
                <w:sz w:val="24"/>
                <w:szCs w:val="24"/>
              </w:rPr>
            </w:pPr>
            <w:r>
              <w:rPr>
                <w:rFonts w:ascii="Times New Roman" w:hAnsi="Times New Roman" w:cs="Times New Roman"/>
                <w:color w:val="#000000"/>
                <w:sz w:val="24"/>
                <w:szCs w:val="24"/>
              </w:rPr>
              <w:t> итоговой</w:t>
            </w:r>
          </w:p>
          <w:p>
            <w:pPr>
              <w:jc w:val="left"/>
              <w:spacing w:after="0" w:line="240" w:lineRule="auto"/>
              <w:rPr>
                <w:sz w:val="24"/>
                <w:szCs w:val="24"/>
              </w:rPr>
            </w:pPr>
            <w:r>
              <w:rPr>
                <w:rFonts w:ascii="Times New Roman" w:hAnsi="Times New Roman" w:cs="Times New Roman"/>
                <w:color w:val="#000000"/>
                <w:sz w:val="24"/>
                <w:szCs w:val="24"/>
              </w:rPr>
              <w:t> величины оценки Метод экспертных оценок.</w:t>
            </w:r>
          </w:p>
          <w:p>
            <w:pPr>
              <w:jc w:val="left"/>
              <w:spacing w:after="0" w:line="240" w:lineRule="auto"/>
              <w:rPr>
                <w:sz w:val="24"/>
                <w:szCs w:val="24"/>
              </w:rPr>
            </w:pPr>
            <w:r>
              <w:rPr>
                <w:rFonts w:ascii="Times New Roman" w:hAnsi="Times New Roman" w:cs="Times New Roman"/>
                <w:color w:val="#000000"/>
                <w:sz w:val="24"/>
                <w:szCs w:val="24"/>
              </w:rPr>
              <w:t> стоимости</w:t>
            </w:r>
          </w:p>
          <w:p>
            <w:pPr>
              <w:jc w:val="left"/>
              <w:spacing w:after="0" w:line="240" w:lineRule="auto"/>
              <w:rPr>
                <w:sz w:val="24"/>
                <w:szCs w:val="24"/>
              </w:rPr>
            </w:pPr>
            <w:r>
              <w:rPr>
                <w:rFonts w:ascii="Times New Roman" w:hAnsi="Times New Roman" w:cs="Times New Roman"/>
                <w:color w:val="#000000"/>
                <w:sz w:val="24"/>
                <w:szCs w:val="24"/>
              </w:rPr>
              <w:t>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Процедура и критерии согласования результатов</w:t>
            </w:r>
          </w:p>
          <w:p>
            <w:pPr>
              <w:jc w:val="left"/>
              <w:spacing w:after="0" w:line="240" w:lineRule="auto"/>
              <w:rPr>
                <w:sz w:val="24"/>
                <w:szCs w:val="24"/>
              </w:rPr>
            </w:pPr>
            <w:r>
              <w:rPr>
                <w:rFonts w:ascii="Times New Roman" w:hAnsi="Times New Roman" w:cs="Times New Roman"/>
                <w:color w:val="#000000"/>
                <w:sz w:val="24"/>
                <w:szCs w:val="24"/>
              </w:rPr>
              <w:t> оценки.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Объекты и субъекты</w:t>
            </w:r>
          </w:p>
          <w:p>
            <w:pPr>
              <w:jc w:val="left"/>
              <w:spacing w:after="0" w:line="240" w:lineRule="auto"/>
              <w:rPr>
                <w:sz w:val="24"/>
                <w:szCs w:val="24"/>
              </w:rPr>
            </w:pPr>
            <w:r>
              <w:rPr>
                <w:rFonts w:ascii="Times New Roman" w:hAnsi="Times New Roman" w:cs="Times New Roman"/>
                <w:color w:val="#000000"/>
                <w:sz w:val="24"/>
                <w:szCs w:val="24"/>
              </w:rPr>
              <w:t> стоимостной оценки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Принципы оценки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396.3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ФЕДЕРАЛЬНЫЙ ЗАКОН</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Об оценочной деятельности в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правового обеспечения.</w:t>
            </w:r>
          </w:p>
          <w:p>
            <w:pPr>
              <w:jc w:val="left"/>
              <w:spacing w:after="0" w:line="240" w:lineRule="auto"/>
              <w:rPr>
                <w:sz w:val="24"/>
                <w:szCs w:val="24"/>
              </w:rPr>
            </w:pPr>
            <w:r>
              <w:rPr>
                <w:rFonts w:ascii="Times New Roman" w:hAnsi="Times New Roman" w:cs="Times New Roman"/>
                <w:color w:val="#000000"/>
                <w:sz w:val="24"/>
                <w:szCs w:val="24"/>
              </w:rPr>
              <w:t> Права, обязанности, независимость оценщиков.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w:t>
            </w:r>
          </w:p>
          <w:p>
            <w:pPr>
              <w:jc w:val="left"/>
              <w:spacing w:after="0" w:line="240" w:lineRule="auto"/>
              <w:rPr>
                <w:sz w:val="24"/>
                <w:szCs w:val="24"/>
              </w:rPr>
            </w:pPr>
            <w:r>
              <w:rPr>
                <w:rFonts w:ascii="Times New Roman" w:hAnsi="Times New Roman" w:cs="Times New Roman"/>
                <w:color w:val="#000000"/>
                <w:sz w:val="24"/>
                <w:szCs w:val="24"/>
              </w:rPr>
              <w:t> этапы</w:t>
            </w:r>
          </w:p>
          <w:p>
            <w:pPr>
              <w:jc w:val="left"/>
              <w:spacing w:after="0" w:line="240" w:lineRule="auto"/>
              <w:rPr>
                <w:sz w:val="24"/>
                <w:szCs w:val="24"/>
              </w:rPr>
            </w:pPr>
            <w:r>
              <w:rPr>
                <w:rFonts w:ascii="Times New Roman" w:hAnsi="Times New Roman" w:cs="Times New Roman"/>
                <w:color w:val="#000000"/>
                <w:sz w:val="24"/>
                <w:szCs w:val="24"/>
              </w:rPr>
              <w:t> процесса оценки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180</w:t>
            </w:r>
          </w:p>
        </w:tc>
      </w:tr>
      <w:tr>
        <w:trPr>
          <w:trHeight w:hRule="exact" w:val="14809.3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268.504"/>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88"/>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История</w:t>
            </w:r>
          </w:p>
          <w:p>
            <w:pPr>
              <w:jc w:val="center"/>
              <w:spacing w:after="0" w:line="240" w:lineRule="auto"/>
              <w:rPr>
                <w:sz w:val="24"/>
                <w:szCs w:val="24"/>
              </w:rPr>
            </w:pPr>
            <w:r>
              <w:rPr>
                <w:rFonts w:ascii="Times New Roman" w:hAnsi="Times New Roman" w:cs="Times New Roman"/>
                <w:b/>
                <w:color w:val="#000000"/>
                <w:sz w:val="24"/>
                <w:szCs w:val="24"/>
              </w:rPr>
              <w:t> развития</w:t>
            </w:r>
          </w:p>
          <w:p>
            <w:pPr>
              <w:jc w:val="center"/>
              <w:spacing w:after="0" w:line="240" w:lineRule="auto"/>
              <w:rPr>
                <w:sz w:val="24"/>
                <w:szCs w:val="24"/>
              </w:rPr>
            </w:pPr>
            <w:r>
              <w:rPr>
                <w:rFonts w:ascii="Times New Roman" w:hAnsi="Times New Roman" w:cs="Times New Roman"/>
                <w:b/>
                <w:color w:val="#000000"/>
                <w:sz w:val="24"/>
                <w:szCs w:val="24"/>
              </w:rPr>
              <w:t> оценочной деятельности</w:t>
            </w:r>
          </w:p>
        </w:tc>
      </w:tr>
      <w:tr>
        <w:trPr>
          <w:trHeight w:hRule="exact" w:val="828.7861"/>
        </w:trPr>
        <w:tc>
          <w:tcPr>
            <w:tcW w:w="9654" w:type="dxa"/>
            <w:tcBorders>
</w:tcBorders>
            <w:vMerge/>
            <w:shd w:val="clear" w:color="#000000" w:fill="#FFFFFF"/>
            <w:vAlign w:val="top"/>
            <w:tcMar>
              <w:left w:w="34" w:type="dxa"/>
              <w:right w:w="34" w:type="dxa"/>
            </w:tcMar>
          </w:tcP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Необходимость</w:t>
            </w:r>
          </w:p>
          <w:p>
            <w:pPr>
              <w:jc w:val="both"/>
              <w:spacing w:after="0" w:line="240" w:lineRule="auto"/>
              <w:rPr>
                <w:sz w:val="24"/>
                <w:szCs w:val="24"/>
              </w:rPr>
            </w:pPr>
            <w:r>
              <w:rPr>
                <w:rFonts w:ascii="Times New Roman" w:hAnsi="Times New Roman" w:cs="Times New Roman"/>
                <w:color w:val="#000000"/>
                <w:sz w:val="24"/>
                <w:szCs w:val="24"/>
              </w:rPr>
              <w:t> организация оценочной</w:t>
            </w:r>
          </w:p>
          <w:p>
            <w:pPr>
              <w:jc w:val="both"/>
              <w:spacing w:after="0" w:line="240" w:lineRule="auto"/>
              <w:rPr>
                <w:sz w:val="24"/>
                <w:szCs w:val="24"/>
              </w:rPr>
            </w:pPr>
            <w:r>
              <w:rPr>
                <w:rFonts w:ascii="Times New Roman" w:hAnsi="Times New Roman" w:cs="Times New Roman"/>
                <w:color w:val="#000000"/>
                <w:sz w:val="24"/>
                <w:szCs w:val="24"/>
              </w:rPr>
              <w:t> деятельности</w:t>
            </w:r>
          </w:p>
          <w:p>
            <w:pPr>
              <w:jc w:val="both"/>
              <w:spacing w:after="0" w:line="240" w:lineRule="auto"/>
              <w:rPr>
                <w:sz w:val="24"/>
                <w:szCs w:val="24"/>
              </w:rPr>
            </w:pPr>
            <w:r>
              <w:rPr>
                <w:rFonts w:ascii="Times New Roman" w:hAnsi="Times New Roman" w:cs="Times New Roman"/>
                <w:color w:val="#000000"/>
                <w:sz w:val="24"/>
                <w:szCs w:val="24"/>
              </w:rPr>
              <w:t> 2.Объекты и субъекты</w:t>
            </w:r>
          </w:p>
          <w:p>
            <w:pPr>
              <w:jc w:val="both"/>
              <w:spacing w:after="0" w:line="240" w:lineRule="auto"/>
              <w:rPr>
                <w:sz w:val="24"/>
                <w:szCs w:val="24"/>
              </w:rPr>
            </w:pPr>
            <w:r>
              <w:rPr>
                <w:rFonts w:ascii="Times New Roman" w:hAnsi="Times New Roman" w:cs="Times New Roman"/>
                <w:color w:val="#000000"/>
                <w:sz w:val="24"/>
                <w:szCs w:val="24"/>
              </w:rPr>
              <w:t> стоимостной оценки</w:t>
            </w:r>
          </w:p>
          <w:p>
            <w:pPr>
              <w:jc w:val="both"/>
              <w:spacing w:after="0" w:line="240" w:lineRule="auto"/>
              <w:rPr>
                <w:sz w:val="24"/>
                <w:szCs w:val="24"/>
              </w:rPr>
            </w:pPr>
            <w:r>
              <w:rPr>
                <w:rFonts w:ascii="Times New Roman" w:hAnsi="Times New Roman" w:cs="Times New Roman"/>
                <w:color w:val="#000000"/>
                <w:sz w:val="24"/>
                <w:szCs w:val="24"/>
              </w:rPr>
              <w:t> 3.Принципы оценки</w:t>
            </w: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Законодательство, регулирующее оценочную деятельность в Российской Федерации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ФЗ "Об оценочной деятельности в Российской Федерации</w:t>
            </w:r>
          </w:p>
        </w:tc>
      </w:tr>
      <w:tr>
        <w:trPr>
          <w:trHeight w:hRule="exact" w:val="855.54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w:t>
            </w:r>
          </w:p>
          <w:p>
            <w:pPr>
              <w:jc w:val="center"/>
              <w:spacing w:after="0" w:line="240" w:lineRule="auto"/>
              <w:rPr>
                <w:sz w:val="24"/>
                <w:szCs w:val="24"/>
              </w:rPr>
            </w:pPr>
            <w:r>
              <w:rPr>
                <w:rFonts w:ascii="Times New Roman" w:hAnsi="Times New Roman" w:cs="Times New Roman"/>
                <w:b/>
                <w:color w:val="#000000"/>
                <w:sz w:val="24"/>
                <w:szCs w:val="24"/>
              </w:rPr>
              <w:t> этапы</w:t>
            </w:r>
          </w:p>
          <w:p>
            <w:pPr>
              <w:jc w:val="center"/>
              <w:spacing w:after="0" w:line="240" w:lineRule="auto"/>
              <w:rPr>
                <w:sz w:val="24"/>
                <w:szCs w:val="24"/>
              </w:rPr>
            </w:pPr>
            <w:r>
              <w:rPr>
                <w:rFonts w:ascii="Times New Roman" w:hAnsi="Times New Roman" w:cs="Times New Roman"/>
                <w:b/>
                <w:color w:val="#000000"/>
                <w:sz w:val="24"/>
                <w:szCs w:val="24"/>
              </w:rPr>
              <w:t> процесса оценки</w:t>
            </w:r>
          </w:p>
        </w:tc>
      </w:tr>
      <w:tr>
        <w:trPr>
          <w:trHeight w:hRule="exact" w:val="826.13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1.Документальное оформление оценочной</w:t>
            </w:r>
          </w:p>
          <w:p>
            <w:pPr>
              <w:jc w:val="both"/>
              <w:spacing w:after="0" w:line="240" w:lineRule="auto"/>
              <w:rPr>
                <w:sz w:val="24"/>
                <w:szCs w:val="24"/>
              </w:rPr>
            </w:pPr>
            <w:r>
              <w:rPr>
                <w:rFonts w:ascii="Times New Roman" w:hAnsi="Times New Roman" w:cs="Times New Roman"/>
                <w:color w:val="#000000"/>
                <w:sz w:val="24"/>
                <w:szCs w:val="24"/>
              </w:rPr>
              <w:t> деятельности.</w:t>
            </w:r>
          </w:p>
          <w:p>
            <w:pPr>
              <w:jc w:val="both"/>
              <w:spacing w:after="0" w:line="240" w:lineRule="auto"/>
              <w:rPr>
                <w:sz w:val="24"/>
                <w:szCs w:val="24"/>
              </w:rPr>
            </w:pPr>
            <w:r>
              <w:rPr>
                <w:rFonts w:ascii="Times New Roman" w:hAnsi="Times New Roman" w:cs="Times New Roman"/>
                <w:color w:val="#000000"/>
                <w:sz w:val="24"/>
                <w:szCs w:val="24"/>
              </w:rPr>
              <w:t> 2.Этапы оценки.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Объекты и субъекты</w:t>
            </w:r>
          </w:p>
          <w:p>
            <w:pPr>
              <w:jc w:val="center"/>
              <w:spacing w:after="0" w:line="240" w:lineRule="auto"/>
              <w:rPr>
                <w:sz w:val="24"/>
                <w:szCs w:val="24"/>
              </w:rPr>
            </w:pPr>
            <w:r>
              <w:rPr>
                <w:rFonts w:ascii="Times New Roman" w:hAnsi="Times New Roman" w:cs="Times New Roman"/>
                <w:b/>
                <w:color w:val="#000000"/>
                <w:sz w:val="24"/>
                <w:szCs w:val="24"/>
              </w:rPr>
              <w:t> стоимостной оценки</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Принципы оценки</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1125.87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ФЕДЕРАЛЬНЫЙ ЗАКОН</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Об оценочной деятельности в Российской Федерации</w:t>
            </w:r>
          </w:p>
        </w:tc>
      </w:tr>
      <w:tr>
        <w:trPr>
          <w:trHeight w:hRule="exact" w:val="21.3160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1.Законодательные акты и стандарты оценки</w:t>
            </w:r>
          </w:p>
          <w:p>
            <w:pPr>
              <w:jc w:val="left"/>
              <w:spacing w:after="0" w:line="240" w:lineRule="auto"/>
              <w:rPr>
                <w:sz w:val="24"/>
                <w:szCs w:val="24"/>
              </w:rPr>
            </w:pPr>
            <w:r>
              <w:rPr>
                <w:rFonts w:ascii="Times New Roman" w:hAnsi="Times New Roman" w:cs="Times New Roman"/>
                <w:color w:val="#000000"/>
                <w:sz w:val="24"/>
                <w:szCs w:val="24"/>
              </w:rPr>
              <w:t> бизнеса.</w:t>
            </w:r>
          </w:p>
          <w:p>
            <w:pPr>
              <w:jc w:val="left"/>
              <w:spacing w:after="0" w:line="240" w:lineRule="auto"/>
              <w:rPr>
                <w:sz w:val="24"/>
                <w:szCs w:val="24"/>
              </w:rPr>
            </w:pPr>
            <w:r>
              <w:rPr>
                <w:rFonts w:ascii="Times New Roman" w:hAnsi="Times New Roman" w:cs="Times New Roman"/>
                <w:color w:val="#000000"/>
                <w:sz w:val="24"/>
                <w:szCs w:val="24"/>
              </w:rPr>
              <w:t> 2.Система правового обеспечения.</w:t>
            </w:r>
          </w:p>
          <w:p>
            <w:pPr>
              <w:jc w:val="left"/>
              <w:spacing w:after="0" w:line="240" w:lineRule="auto"/>
              <w:rPr>
                <w:sz w:val="24"/>
                <w:szCs w:val="24"/>
              </w:rPr>
            </w:pPr>
            <w:r>
              <w:rPr>
                <w:rFonts w:ascii="Times New Roman" w:hAnsi="Times New Roman" w:cs="Times New Roman"/>
                <w:color w:val="#000000"/>
                <w:sz w:val="24"/>
                <w:szCs w:val="24"/>
              </w:rPr>
              <w:t> 3.Права, обязанности, независимость оценщиков.</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Система правового обеспечения.</w:t>
            </w:r>
          </w:p>
          <w:p>
            <w:pPr>
              <w:jc w:val="center"/>
              <w:spacing w:after="0" w:line="240" w:lineRule="auto"/>
              <w:rPr>
                <w:sz w:val="24"/>
                <w:szCs w:val="24"/>
              </w:rPr>
            </w:pPr>
            <w:r>
              <w:rPr>
                <w:rFonts w:ascii="Times New Roman" w:hAnsi="Times New Roman" w:cs="Times New Roman"/>
                <w:b/>
                <w:color w:val="#000000"/>
                <w:sz w:val="24"/>
                <w:szCs w:val="24"/>
              </w:rPr>
              <w:t> Права, обязанности, независимость оценщиков.</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w:t>
            </w:r>
          </w:p>
          <w:p>
            <w:pPr>
              <w:jc w:val="center"/>
              <w:spacing w:after="0" w:line="240" w:lineRule="auto"/>
              <w:rPr>
                <w:sz w:val="24"/>
                <w:szCs w:val="24"/>
              </w:rPr>
            </w:pPr>
            <w:r>
              <w:rPr>
                <w:rFonts w:ascii="Times New Roman" w:hAnsi="Times New Roman" w:cs="Times New Roman"/>
                <w:b/>
                <w:color w:val="#000000"/>
                <w:sz w:val="24"/>
                <w:szCs w:val="24"/>
              </w:rPr>
              <w:t> этапы</w:t>
            </w:r>
          </w:p>
          <w:p>
            <w:pPr>
              <w:jc w:val="center"/>
              <w:spacing w:after="0" w:line="240" w:lineRule="auto"/>
              <w:rPr>
                <w:sz w:val="24"/>
                <w:szCs w:val="24"/>
              </w:rPr>
            </w:pPr>
            <w:r>
              <w:rPr>
                <w:rFonts w:ascii="Times New Roman" w:hAnsi="Times New Roman" w:cs="Times New Roman"/>
                <w:b/>
                <w:color w:val="#000000"/>
                <w:sz w:val="24"/>
                <w:szCs w:val="24"/>
              </w:rPr>
              <w:t> процесса оценки</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«Организация оценочной деятельности в Российской Федерации» / Беляева Елена Рудольфовна.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Оценка</w:t>
            </w:r>
            <w:r>
              <w:rPr/>
              <w:t xml:space="preserve"> </w:t>
            </w:r>
            <w:r>
              <w:rPr>
                <w:rFonts w:ascii="Times New Roman" w:hAnsi="Times New Roman" w:cs="Times New Roman"/>
                <w:color w:val="#000000"/>
                <w:sz w:val="24"/>
                <w:szCs w:val="24"/>
              </w:rPr>
              <w:t>стоимости</w:t>
            </w:r>
            <w:r>
              <w:rPr/>
              <w:t xml:space="preserve"> </w:t>
            </w:r>
            <w:r>
              <w:rPr>
                <w:rFonts w:ascii="Times New Roman" w:hAnsi="Times New Roman" w:cs="Times New Roman"/>
                <w:color w:val="#000000"/>
                <w:sz w:val="24"/>
                <w:szCs w:val="24"/>
              </w:rPr>
              <w:t>бизнеса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приложение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Касьяненко</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Маховикова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978-5-534-01446-4.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https://urait.ru/bcode/450095</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Оценка</w:t>
            </w:r>
            <w:r>
              <w:rPr/>
              <w:t xml:space="preserve"> </w:t>
            </w:r>
            <w:r>
              <w:rPr>
                <w:rFonts w:ascii="Times New Roman" w:hAnsi="Times New Roman" w:cs="Times New Roman"/>
                <w:color w:val="#000000"/>
                <w:sz w:val="24"/>
                <w:szCs w:val="24"/>
              </w:rPr>
              <w:t>стоимости</w:t>
            </w:r>
            <w:r>
              <w:rPr/>
              <w:t xml:space="preserve"> </w:t>
            </w:r>
            <w:r>
              <w:rPr>
                <w:rFonts w:ascii="Times New Roman" w:hAnsi="Times New Roman" w:cs="Times New Roman"/>
                <w:color w:val="#000000"/>
                <w:sz w:val="24"/>
                <w:szCs w:val="24"/>
              </w:rPr>
              <w:t>активов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бизнеса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Федотова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Бусов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Землянский</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522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978-5-534-07502-1.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https://urait.ru/bcode/455704</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Оценка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стоимостью</w:t>
            </w:r>
            <w:r>
              <w:rPr/>
              <w:t xml:space="preserve"> </w:t>
            </w:r>
            <w:r>
              <w:rPr>
                <w:rFonts w:ascii="Times New Roman" w:hAnsi="Times New Roman" w:cs="Times New Roman"/>
                <w:color w:val="#000000"/>
                <w:sz w:val="24"/>
                <w:szCs w:val="24"/>
              </w:rPr>
              <w:t>предприятия</w:t>
            </w:r>
            <w:r>
              <w:rPr/>
              <w:t xml:space="preserve"> </w:t>
            </w:r>
            <w:r>
              <w:rPr>
                <w:rFonts w:ascii="Times New Roman" w:hAnsi="Times New Roman" w:cs="Times New Roman"/>
                <w:color w:val="#000000"/>
                <w:sz w:val="24"/>
                <w:szCs w:val="24"/>
              </w:rPr>
              <w:t>(краткий</w:t>
            </w:r>
            <w:r>
              <w:rPr/>
              <w:t xml:space="preserve"> </w:t>
            </w:r>
            <w:r>
              <w:rPr>
                <w:rFonts w:ascii="Times New Roman" w:hAnsi="Times New Roman" w:cs="Times New Roman"/>
                <w:color w:val="#000000"/>
                <w:sz w:val="24"/>
                <w:szCs w:val="24"/>
              </w:rPr>
              <w:t>курс</w:t>
            </w:r>
            <w:r>
              <w:rPr/>
              <w:t xml:space="preserve"> </w:t>
            </w:r>
            <w:r>
              <w:rPr>
                <w:rFonts w:ascii="Times New Roman" w:hAnsi="Times New Roman" w:cs="Times New Roman"/>
                <w:color w:val="#000000"/>
                <w:sz w:val="24"/>
                <w:szCs w:val="24"/>
              </w:rPr>
              <w:t>лекций)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Падерин,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Оценка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стоимостью</w:t>
            </w:r>
            <w:r>
              <w:rPr/>
              <w:t xml:space="preserve"> </w:t>
            </w:r>
            <w:r>
              <w:rPr>
                <w:rFonts w:ascii="Times New Roman" w:hAnsi="Times New Roman" w:cs="Times New Roman"/>
                <w:color w:val="#000000"/>
                <w:sz w:val="24"/>
                <w:szCs w:val="24"/>
              </w:rPr>
              <w:t>предприятия</w:t>
            </w:r>
            <w:r>
              <w:rPr/>
              <w:t xml:space="preserve"> </w:t>
            </w:r>
            <w:r>
              <w:rPr>
                <w:rFonts w:ascii="Times New Roman" w:hAnsi="Times New Roman" w:cs="Times New Roman"/>
                <w:color w:val="#000000"/>
                <w:sz w:val="24"/>
                <w:szCs w:val="24"/>
              </w:rPr>
              <w:t>(краткий</w:t>
            </w:r>
            <w:r>
              <w:rPr/>
              <w:t xml:space="preserve"> </w:t>
            </w:r>
            <w:r>
              <w:rPr>
                <w:rFonts w:ascii="Times New Roman" w:hAnsi="Times New Roman" w:cs="Times New Roman"/>
                <w:color w:val="#000000"/>
                <w:sz w:val="24"/>
                <w:szCs w:val="24"/>
              </w:rPr>
              <w:t>курс</w:t>
            </w:r>
            <w:r>
              <w:rPr/>
              <w:t xml:space="preserve"> </w:t>
            </w:r>
            <w:r>
              <w:rPr>
                <w:rFonts w:ascii="Times New Roman" w:hAnsi="Times New Roman" w:cs="Times New Roman"/>
                <w:color w:val="#000000"/>
                <w:sz w:val="24"/>
                <w:szCs w:val="24"/>
              </w:rPr>
              <w:t>лекций)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Симферополь:</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экономики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http://www.iprbookshop.ru/89489.html</w:t>
            </w:r>
            <w:r>
              <w:rPr/>
              <w:t xml:space="preserve"> </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Оценка</w:t>
            </w:r>
            <w:r>
              <w:rPr/>
              <w:t xml:space="preserve"> </w:t>
            </w:r>
            <w:r>
              <w:rPr>
                <w:rFonts w:ascii="Times New Roman" w:hAnsi="Times New Roman" w:cs="Times New Roman"/>
                <w:color w:val="#000000"/>
                <w:sz w:val="24"/>
                <w:szCs w:val="24"/>
              </w:rPr>
              <w:t>стоимости</w:t>
            </w:r>
            <w:r>
              <w:rPr/>
              <w:t xml:space="preserve"> </w:t>
            </w:r>
            <w:r>
              <w:rPr>
                <w:rFonts w:ascii="Times New Roman" w:hAnsi="Times New Roman" w:cs="Times New Roman"/>
                <w:color w:val="#000000"/>
                <w:sz w:val="24"/>
                <w:szCs w:val="24"/>
              </w:rPr>
              <w:t>активов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бизнеса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Федотова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Бусов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Землянский</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522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978-5-534-07502-1.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https://urait.ru/bcode/474651</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оценки</w:t>
            </w:r>
            <w:r>
              <w:rPr/>
              <w:t xml:space="preserve"> </w:t>
            </w:r>
            <w:r>
              <w:rPr>
                <w:rFonts w:ascii="Times New Roman" w:hAnsi="Times New Roman" w:cs="Times New Roman"/>
                <w:color w:val="#000000"/>
                <w:sz w:val="24"/>
                <w:szCs w:val="24"/>
              </w:rPr>
              <w:t>стоимости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Трифонов,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оценки</w:t>
            </w:r>
            <w:r>
              <w:rPr/>
              <w:t xml:space="preserve"> </w:t>
            </w:r>
            <w:r>
              <w:rPr>
                <w:rFonts w:ascii="Times New Roman" w:hAnsi="Times New Roman" w:cs="Times New Roman"/>
                <w:color w:val="#000000"/>
                <w:sz w:val="24"/>
                <w:szCs w:val="24"/>
              </w:rPr>
              <w:t>стоимости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Минск:</w:t>
            </w:r>
            <w:r>
              <w:rPr/>
              <w:t xml:space="preserve"> </w:t>
            </w:r>
            <w:r>
              <w:rPr>
                <w:rFonts w:ascii="Times New Roman" w:hAnsi="Times New Roman" w:cs="Times New Roman"/>
                <w:color w:val="#000000"/>
                <w:sz w:val="24"/>
                <w:szCs w:val="24"/>
              </w:rPr>
              <w:t>Вышэйшая</w:t>
            </w:r>
            <w:r>
              <w:rPr/>
              <w:t xml:space="preserve"> </w:t>
            </w:r>
            <w:r>
              <w:rPr>
                <w:rFonts w:ascii="Times New Roman" w:hAnsi="Times New Roman" w:cs="Times New Roman"/>
                <w:color w:val="#000000"/>
                <w:sz w:val="24"/>
                <w:szCs w:val="24"/>
              </w:rPr>
              <w:t>школа,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978-985-06-2822-0.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http://www.iprbookshop.ru/90835.html</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Оценка</w:t>
            </w:r>
            <w:r>
              <w:rPr/>
              <w:t xml:space="preserve"> </w:t>
            </w:r>
            <w:r>
              <w:rPr>
                <w:rFonts w:ascii="Times New Roman" w:hAnsi="Times New Roman" w:cs="Times New Roman"/>
                <w:color w:val="#000000"/>
                <w:sz w:val="24"/>
                <w:szCs w:val="24"/>
              </w:rPr>
              <w:t>стоимости</w:t>
            </w:r>
            <w:r>
              <w:rPr/>
              <w:t xml:space="preserve"> </w:t>
            </w:r>
            <w:r>
              <w:rPr>
                <w:rFonts w:ascii="Times New Roman" w:hAnsi="Times New Roman" w:cs="Times New Roman"/>
                <w:color w:val="#000000"/>
                <w:sz w:val="24"/>
                <w:szCs w:val="24"/>
              </w:rPr>
              <w:t>бизнеса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Спиридонова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978-5-534-08022-3.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https://urait.ru/bcode/469764</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2539.42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317.0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7760.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055.22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3643.83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457.4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2023-2024_ФГОС3++2023_Бак-ОФО-Э(БАиОСИ)(23)_plx_Организация оценочной деятельности в Российской Федерации</dc:title>
  <dc:creator>FastReport.NET</dc:creator>
</cp:coreProperties>
</file>